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158A8600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8B491F">
        <w:rPr>
          <w:b/>
          <w:sz w:val="32"/>
          <w:szCs w:val="32"/>
        </w:rPr>
        <w:t xml:space="preserve">(šablona) </w:t>
      </w:r>
      <w:r>
        <w:rPr>
          <w:b/>
          <w:sz w:val="32"/>
          <w:szCs w:val="32"/>
        </w:rPr>
        <w:t>projektového záměru</w:t>
      </w:r>
    </w:p>
    <w:p w14:paraId="3ADB798B" w14:textId="1D27A70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130265">
        <w:rPr>
          <w:rFonts w:ascii="Calibri" w:hAnsi="Calibri" w:cs="Calibri"/>
          <w:b/>
          <w:sz w:val="28"/>
          <w:szCs w:val="28"/>
        </w:rPr>
        <w:t>5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1ABFC562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proofErr w:type="gramStart"/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</w:t>
      </w:r>
      <w:proofErr w:type="gramEnd"/>
      <w:r w:rsidR="00BD77F3" w:rsidRPr="00A0775D">
        <w:rPr>
          <w:b/>
          <w:bCs/>
          <w:sz w:val="28"/>
          <w:szCs w:val="28"/>
        </w:rPr>
        <w:t xml:space="preserve">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130265">
        <w:rPr>
          <w:rFonts w:ascii="Calibri" w:hAnsi="Calibri" w:cs="Calibri"/>
          <w:b/>
          <w:smallCaps/>
          <w:sz w:val="28"/>
          <w:szCs w:val="28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41902BE5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130265">
        <w:rPr>
          <w:rFonts w:ascii="Calibri" w:hAnsi="Calibri" w:cs="Calibri"/>
          <w:b/>
          <w:smallCaps/>
          <w:sz w:val="28"/>
          <w:szCs w:val="28"/>
        </w:rPr>
        <w:t>86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130265" w:rsidRPr="00130265">
        <w:rPr>
          <w:rFonts w:ascii="Calibri" w:hAnsi="Calibri" w:cs="Calibri"/>
          <w:b/>
          <w:smallCaps/>
          <w:sz w:val="28"/>
          <w:szCs w:val="28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7A09057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Krnovska</w:t>
      </w:r>
      <w:r w:rsidR="00602A33">
        <w:t>,</w:t>
      </w:r>
      <w:r w:rsidR="00C50A8E">
        <w:t xml:space="preserve"> </w:t>
      </w:r>
      <w:r>
        <w:t xml:space="preserve">jakožto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616E2D0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0592D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44C1B39E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B0592D">
        <w:t>86</w:t>
      </w:r>
      <w:r>
        <w:t xml:space="preserve"> IROP (vždy v aktuálním znění).</w:t>
      </w:r>
    </w:p>
    <w:p w14:paraId="2C5650A1" w14:textId="3139CB1D" w:rsidR="00211D24" w:rsidRDefault="00211D24" w:rsidP="00162F67">
      <w:pPr>
        <w:spacing w:after="0"/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</w:p>
    <w:p w14:paraId="785E9E3E" w14:textId="77777777" w:rsidR="00414DFB" w:rsidRPr="00414DFB" w:rsidRDefault="00000000" w:rsidP="00414DF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cs-CZ"/>
        </w:rPr>
      </w:pPr>
      <w:hyperlink r:id="rId12" w:history="1">
        <w:r w:rsidR="00414DFB" w:rsidRPr="00414DFB">
          <w:rPr>
            <w:rFonts w:ascii="Calibri" w:eastAsia="Times New Roman" w:hAnsi="Calibri" w:cs="Calibri"/>
            <w:color w:val="0000FF"/>
            <w:u w:val="single"/>
            <w:lang w:eastAsia="cs-CZ"/>
          </w:rPr>
          <w:t>https://irop.gov.cz/cs/vyzvy-2021-2027/vyzvy/86vyzvairop</w:t>
        </w:r>
      </w:hyperlink>
    </w:p>
    <w:p w14:paraId="4FAF74CA" w14:textId="4B88F7A6" w:rsidR="00162F67" w:rsidRDefault="00162F67" w:rsidP="00162F67">
      <w:pPr>
        <w:spacing w:after="0"/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392400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61E5A133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1577F4C6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15734">
              <w:rPr>
                <w:rFonts w:cs="Arial"/>
                <w:bCs/>
                <w:sz w:val="20"/>
                <w:szCs w:val="20"/>
              </w:rPr>
              <w:t> </w:t>
            </w:r>
            <w:r w:rsidR="00E15734" w:rsidRPr="00E15734">
              <w:rPr>
                <w:rFonts w:cs="Arial"/>
                <w:bCs/>
                <w:sz w:val="20"/>
                <w:szCs w:val="20"/>
              </w:rPr>
              <w:t>86</w:t>
            </w:r>
            <w:r w:rsidRPr="00331076">
              <w:rPr>
                <w:sz w:val="20"/>
                <w:szCs w:val="20"/>
              </w:rPr>
              <w:t xml:space="preserve">. Výzva IROP – </w:t>
            </w:r>
            <w:r w:rsidR="00724F1E">
              <w:rPr>
                <w:sz w:val="20"/>
                <w:szCs w:val="20"/>
              </w:rPr>
              <w:t>CESTOVNÍ RUCH</w:t>
            </w:r>
            <w:r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392400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66E8FB6C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6EA68DBC" w:rsidR="00392400" w:rsidRPr="00331076" w:rsidRDefault="0039240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724F1E">
              <w:rPr>
                <w:rFonts w:cs="Arial"/>
                <w:bCs/>
                <w:sz w:val="20"/>
                <w:szCs w:val="20"/>
              </w:rPr>
              <w:t>5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>
              <w:rPr>
                <w:rFonts w:cs="Arial"/>
                <w:bCs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724F1E">
              <w:rPr>
                <w:rFonts w:cs="Arial"/>
                <w:bCs/>
                <w:sz w:val="20"/>
                <w:szCs w:val="20"/>
              </w:rPr>
              <w:t>CESTOVNÍ RUCH</w:t>
            </w:r>
          </w:p>
        </w:tc>
      </w:tr>
      <w:tr w:rsidR="00392400" w:rsidRPr="001C1F58" w14:paraId="1AB9F43A" w14:textId="77777777" w:rsidTr="00382B5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36249621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0B4615AB" w14:textId="0309898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392400" w:rsidRPr="001C1F58" w14:paraId="5A0A59D6" w14:textId="77777777" w:rsidTr="00382B5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FD2C70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883F993" w14:textId="57E0E009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031BF92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C0F65B5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7AA2D5E2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F5F093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2512CC8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1E1F9A7B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70AC5ACE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883E250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4B1ACCC" w14:textId="77777777" w:rsidTr="00FE42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613F3BC0" w14:textId="2C3BDE2F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1E40C1E" w14:textId="2413F21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1A0D26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E3D4843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8555B9">
              <w:rPr>
                <w:color w:val="FF0000"/>
                <w:sz w:val="20"/>
                <w:szCs w:val="20"/>
              </w:rPr>
              <w:t xml:space="preserve"> s ohledem na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="008555B9">
              <w:rPr>
                <w:color w:val="FF0000"/>
                <w:sz w:val="20"/>
                <w:szCs w:val="20"/>
              </w:rPr>
              <w:t xml:space="preserve">a </w:t>
            </w:r>
            <w:r w:rsidR="00670EF9">
              <w:rPr>
                <w:color w:val="FF0000"/>
                <w:sz w:val="20"/>
                <w:szCs w:val="20"/>
              </w:rPr>
              <w:t>s ohledem na kritéria věcného hodnocení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</w:t>
            </w:r>
            <w:r w:rsidR="00AD4719">
              <w:rPr>
                <w:color w:val="FF0000"/>
                <w:sz w:val="20"/>
                <w:szCs w:val="20"/>
              </w:rPr>
              <w:t>86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D4719">
              <w:rPr>
                <w:color w:val="FF0000"/>
                <w:sz w:val="20"/>
                <w:szCs w:val="20"/>
              </w:rPr>
              <w:t>Cestovní ruch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4CE48435" w14:textId="77777777" w:rsidR="006D443B" w:rsidRPr="00586900" w:rsidRDefault="006D443B" w:rsidP="006D443B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budou v rámci projektu realizována energetická opatření</w:t>
            </w:r>
          </w:p>
          <w:p w14:paraId="7334D537" w14:textId="77777777" w:rsidR="006D443B" w:rsidRDefault="006D443B" w:rsidP="006D443B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00F50C68" w14:textId="21987F25" w:rsidR="00156659" w:rsidRPr="00586900" w:rsidRDefault="00156659" w:rsidP="00B00161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5F018959" w14:textId="77777777" w:rsidR="00C14F01" w:rsidRPr="00586900" w:rsidRDefault="00C14F01" w:rsidP="00755FF3">
            <w:pPr>
              <w:rPr>
                <w:b/>
                <w:sz w:val="20"/>
                <w:szCs w:val="20"/>
              </w:rPr>
            </w:pPr>
          </w:p>
          <w:p w14:paraId="4D873A47" w14:textId="1DA12F7C" w:rsidR="00991E7D" w:rsidRPr="00586900" w:rsidRDefault="001A0D26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194A1CD7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</w:t>
            </w:r>
            <w:r w:rsidR="00F77ED0">
              <w:rPr>
                <w:b/>
                <w:bCs/>
                <w:sz w:val="20"/>
                <w:szCs w:val="20"/>
              </w:rPr>
              <w:t>3</w:t>
            </w:r>
            <w:r w:rsidRPr="006D045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032DC" w:rsidRPr="00586900" w14:paraId="27082EE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6D5D19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31E658CF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D35299">
              <w:rPr>
                <w:b/>
              </w:rPr>
              <w:t>kompetentního subjektu</w:t>
            </w:r>
            <w:r w:rsidR="002C7663">
              <w:rPr>
                <w:b/>
              </w:rPr>
              <w:t xml:space="preserve"> (orgánu)</w:t>
            </w:r>
            <w:r w:rsidR="00D12532">
              <w:rPr>
                <w:b/>
              </w:rPr>
              <w:t xml:space="preserve"> </w:t>
            </w:r>
            <w:r w:rsidR="007A615B">
              <w:rPr>
                <w:b/>
              </w:rPr>
              <w:t xml:space="preserve">apod. </w:t>
            </w:r>
            <w:r w:rsidR="00D12532" w:rsidRPr="00D12532">
              <w:rPr>
                <w:bCs/>
              </w:rPr>
              <w:t>(je-li to relevantní)</w:t>
            </w:r>
            <w:r w:rsidR="00D35299">
              <w:rPr>
                <w:b/>
              </w:rPr>
              <w:t>:</w:t>
            </w:r>
          </w:p>
        </w:tc>
      </w:tr>
      <w:tr w:rsidR="00647584" w:rsidRPr="00586900" w14:paraId="072E54D2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4DA1C4EC" w14:textId="77777777" w:rsidR="00830F0A" w:rsidRDefault="00830F0A" w:rsidP="00755FF3">
            <w:pPr>
              <w:rPr>
                <w:rFonts w:cstheme="minorHAnsi"/>
                <w:b/>
                <w:color w:val="FF0000"/>
              </w:rPr>
            </w:pPr>
          </w:p>
          <w:p w14:paraId="0DD76181" w14:textId="77777777" w:rsidR="00604DD6" w:rsidRDefault="00604DD6" w:rsidP="00755FF3">
            <w:pPr>
              <w:rPr>
                <w:rFonts w:cstheme="minorHAnsi"/>
                <w:b/>
                <w:color w:val="FF0000"/>
              </w:rPr>
            </w:pPr>
          </w:p>
          <w:p w14:paraId="667A918A" w14:textId="6AC27229" w:rsidR="0043108C" w:rsidRPr="001F2122" w:rsidRDefault="00BC793E" w:rsidP="00755F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Komplexnost projektu</w:t>
            </w:r>
          </w:p>
        </w:tc>
      </w:tr>
      <w:tr w:rsidR="00647584" w:rsidRPr="00586900" w14:paraId="2D997127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53FB752D" w14:textId="015D2D9E" w:rsidR="00BB1250" w:rsidRPr="00387454" w:rsidRDefault="00BC793E" w:rsidP="0038745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 ucelenost projektu – </w:t>
            </w:r>
            <w:r w:rsidR="00475BDA">
              <w:rPr>
                <w:color w:val="FF0000"/>
                <w:sz w:val="20"/>
                <w:szCs w:val="20"/>
              </w:rPr>
              <w:t>zejména vzájemnou provázanost a potřebnost jednotlivých realizovaných opatření</w:t>
            </w:r>
          </w:p>
          <w:p w14:paraId="7EE9E497" w14:textId="1958BA05" w:rsidR="00BB1250" w:rsidRDefault="00BB1250" w:rsidP="00BB1250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území</w:t>
            </w:r>
            <w:r w:rsidR="00387454">
              <w:rPr>
                <w:color w:val="FF0000"/>
                <w:sz w:val="20"/>
                <w:szCs w:val="20"/>
              </w:rPr>
              <w:t xml:space="preserve"> </w:t>
            </w:r>
            <w:r w:rsidR="00475BDA">
              <w:rPr>
                <w:color w:val="FF0000"/>
                <w:sz w:val="20"/>
                <w:szCs w:val="20"/>
              </w:rPr>
              <w:t xml:space="preserve">(místa) </w:t>
            </w:r>
            <w:r w:rsidR="00387454">
              <w:rPr>
                <w:color w:val="FF0000"/>
                <w:sz w:val="20"/>
                <w:szCs w:val="20"/>
              </w:rPr>
              <w:t xml:space="preserve">na </w:t>
            </w:r>
            <w:r w:rsidR="00475BDA">
              <w:rPr>
                <w:color w:val="FF0000"/>
                <w:sz w:val="20"/>
                <w:szCs w:val="20"/>
              </w:rPr>
              <w:t>nichž</w:t>
            </w:r>
            <w:r w:rsidR="00387454">
              <w:rPr>
                <w:color w:val="FF0000"/>
                <w:sz w:val="20"/>
                <w:szCs w:val="20"/>
              </w:rPr>
              <w:t xml:space="preserve"> budou</w:t>
            </w:r>
            <w:r w:rsidR="00475BDA">
              <w:rPr>
                <w:color w:val="FF0000"/>
                <w:sz w:val="20"/>
                <w:szCs w:val="20"/>
              </w:rPr>
              <w:t xml:space="preserve"> </w:t>
            </w:r>
            <w:r w:rsidR="00387454">
              <w:rPr>
                <w:color w:val="FF0000"/>
                <w:sz w:val="20"/>
                <w:szCs w:val="20"/>
              </w:rPr>
              <w:t xml:space="preserve">realizována opatření </w:t>
            </w:r>
          </w:p>
          <w:p w14:paraId="31308635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6121DF3B" w:rsidR="00991E7D" w:rsidRPr="001C1F58" w:rsidRDefault="00EF132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910 201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13F9DD" w14:textId="275937AD" w:rsidR="00991E7D" w:rsidRPr="00586900" w:rsidRDefault="00EF13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Nová či modernizovaná turistická infocentra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65804F" w14:textId="640DB78F" w:rsidR="00991E7D" w:rsidRPr="00586900" w:rsidRDefault="0067684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TIC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0B1C794C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B2EEA6F" w14:textId="0D40D959" w:rsidR="005E7C2E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910 301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E46F67" w14:textId="1222B516" w:rsidR="005E7C2E" w:rsidRDefault="007212DA" w:rsidP="005E7C2E">
            <w:pPr>
              <w:spacing w:after="0" w:line="240" w:lineRule="auto"/>
            </w:pPr>
            <w:r>
              <w:t>Vybudovaná nebo vybavená doprovodná infrastruktura pro turismus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3929C67" w14:textId="13CC0084" w:rsidR="005E7C2E" w:rsidRDefault="00655F02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doprovodná turistická INFRA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872163" w14:textId="78199026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18CA7B" w14:textId="07BBFED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43FF59E5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D9ADDC" w14:textId="29E50AAF" w:rsidR="005E7C2E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EFCF41" w14:textId="28EB873B" w:rsidR="005E7C2E" w:rsidRDefault="000A5138" w:rsidP="005E7C2E">
            <w:pPr>
              <w:spacing w:after="0" w:line="240" w:lineRule="auto"/>
            </w:pPr>
            <w:r>
              <w:t xml:space="preserve">Délka vybudované či </w:t>
            </w:r>
            <w:r>
              <w:t>r</w:t>
            </w:r>
            <w:r>
              <w:t>ekonstruované sítě značení turistických tras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7EEAD87" w14:textId="68BC63D4" w:rsidR="005E7C2E" w:rsidRDefault="000D4F13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8407BC" w14:textId="62A2BF56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299329" w14:textId="6A8A7BE9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58E0B79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64A1F34" w14:textId="2EFAC7B5" w:rsidR="005E7C2E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305 002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9BCFFA" w14:textId="178529DD" w:rsidR="005E7C2E" w:rsidRDefault="00CD702A" w:rsidP="005E7C2E">
            <w:pPr>
              <w:spacing w:after="0" w:line="240" w:lineRule="auto"/>
            </w:pPr>
            <w:r>
              <w:t>Počet pořízených informačních systémů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8868B9A" w14:textId="5EBDE616" w:rsidR="005E7C2E" w:rsidRDefault="00B92431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IS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CA66E5B" w14:textId="23A02252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E489FA" w14:textId="5DC083D1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7FB135C4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D99033" w14:textId="12493135" w:rsidR="005E7C2E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740 010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7DC586" w14:textId="37AC09A8" w:rsidR="005E7C2E" w:rsidRDefault="003039CF" w:rsidP="005E7C2E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A0F8D14" w14:textId="2B24D44F" w:rsidR="005E7C2E" w:rsidRDefault="00074312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1A42B95" w14:textId="5151648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28BB95" w14:textId="3D8DD18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7177C5F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21360BE" w14:textId="67A3F07E" w:rsidR="005E7C2E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C733DBA" w14:textId="3C839E53" w:rsidR="005E7C2E" w:rsidRDefault="00CE3C21" w:rsidP="005E7C2E">
            <w:pPr>
              <w:spacing w:after="0" w:line="240" w:lineRule="auto"/>
            </w:pPr>
            <w:r>
              <w:t>Parkovací místa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C13E734" w14:textId="5F116A19" w:rsidR="005E7C2E" w:rsidRDefault="00A21684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2999F8B" w14:textId="3A8A667C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8A4F77" w14:textId="04ABF16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0E3CEE61" w14:textId="77777777" w:rsidTr="007240BE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DE1A449" w14:textId="5643D74F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910 601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6E55139" w:rsidR="005E7C2E" w:rsidRPr="00586900" w:rsidRDefault="00CD241B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Vybudovaná nebo vybavená doprovodná infrastruktura pro vodní a vodáckou turistiku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3C7B7C9" w14:textId="6C6DFB32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proofErr w:type="gramStart"/>
            <w:r w:rsidR="00975964">
              <w:rPr>
                <w:rFonts w:cs="Arial"/>
                <w:bCs/>
                <w:sz w:val="20"/>
                <w:szCs w:val="20"/>
              </w:rPr>
              <w:t>Počet -</w:t>
            </w:r>
            <w:r w:rsidR="00975964">
              <w:t>prvky</w:t>
            </w:r>
            <w:proofErr w:type="gramEnd"/>
            <w:r w:rsidR="00975964">
              <w:t xml:space="preserve"> infrastr</w:t>
            </w:r>
            <w:r w:rsidR="00AB464C">
              <w:t>.</w:t>
            </w:r>
            <w:r w:rsidR="00975964">
              <w:t xml:space="preserve"> pro vodní a vodáckou turistiku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E2573C" w14:textId="5631BEF4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3981FF" w14:textId="4D778AB4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6E145B29" w14:textId="77777777" w:rsidTr="007240BE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291B170" w14:textId="7C15EDBA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510A5A" w14:textId="6F085B33" w:rsidR="005E7C2E" w:rsidRPr="00586900" w:rsidRDefault="00056306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návštěvníků podpořených lokalit v oblasti kultury a cestovního ruchu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06F16A" w14:textId="08716D3E" w:rsidR="005E7C2E" w:rsidRPr="00586900" w:rsidRDefault="00BA54B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N</w:t>
            </w:r>
            <w:r>
              <w:t>ávštěvníci</w:t>
            </w:r>
            <w:r>
              <w:t xml:space="preserve"> </w:t>
            </w:r>
            <w: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685DBA" w14:textId="7E110317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1E089D5" w14:textId="6DB0722D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9973567" w14:textId="77777777" w:rsidTr="007240BE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4FCD64B0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4B8F3577" w:rsidR="005E7C2E" w:rsidRPr="00586900" w:rsidRDefault="00472C6D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B00CF1E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8865DD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21CEB11D" w14:textId="77777777" w:rsidR="00585654" w:rsidRDefault="00585654" w:rsidP="00991E7D">
      <w:pPr>
        <w:rPr>
          <w:b/>
        </w:rPr>
      </w:pPr>
    </w:p>
    <w:p w14:paraId="76E852E0" w14:textId="449BA326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21424F">
        <w:tc>
          <w:tcPr>
            <w:tcW w:w="3670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0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21424F">
        <w:tc>
          <w:tcPr>
            <w:tcW w:w="3670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0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559DD606" w14:textId="77777777" w:rsidR="00035DEC" w:rsidRDefault="00035DEC" w:rsidP="006E6251">
      <w:pPr>
        <w:rPr>
          <w:b/>
          <w:bCs/>
        </w:rPr>
      </w:pPr>
    </w:p>
    <w:p w14:paraId="60D24757" w14:textId="7DBCF8B3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3E150AA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7A728B5C" w14:textId="48525219" w:rsidR="00BD77F3" w:rsidRDefault="00BD77F3" w:rsidP="0021424F"/>
    <w:sectPr w:rsidR="00BD77F3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6D43" w14:textId="77777777" w:rsidR="00E03037" w:rsidRDefault="00E03037" w:rsidP="00DC4000">
      <w:pPr>
        <w:spacing w:after="0" w:line="240" w:lineRule="auto"/>
      </w:pPr>
      <w:r>
        <w:separator/>
      </w:r>
    </w:p>
  </w:endnote>
  <w:endnote w:type="continuationSeparator" w:id="0">
    <w:p w14:paraId="47C3393F" w14:textId="77777777" w:rsidR="00E03037" w:rsidRDefault="00E0303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D0AE" w14:textId="77777777" w:rsidR="00E03037" w:rsidRDefault="00E03037" w:rsidP="00DC4000">
      <w:pPr>
        <w:spacing w:after="0" w:line="240" w:lineRule="auto"/>
      </w:pPr>
      <w:r>
        <w:separator/>
      </w:r>
    </w:p>
  </w:footnote>
  <w:footnote w:type="continuationSeparator" w:id="0">
    <w:p w14:paraId="6A6D7502" w14:textId="77777777" w:rsidR="00E03037" w:rsidRDefault="00E0303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709091D4">
          <wp:extent cx="1228919" cy="294075"/>
          <wp:effectExtent l="0" t="0" r="0" b="0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9992" cy="29672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490D"/>
    <w:rsid w:val="00035DEC"/>
    <w:rsid w:val="0005018F"/>
    <w:rsid w:val="00056306"/>
    <w:rsid w:val="00074312"/>
    <w:rsid w:val="00091A84"/>
    <w:rsid w:val="000A5138"/>
    <w:rsid w:val="000D1CE1"/>
    <w:rsid w:val="000D4F13"/>
    <w:rsid w:val="000E249A"/>
    <w:rsid w:val="000E60B8"/>
    <w:rsid w:val="00106565"/>
    <w:rsid w:val="001115D4"/>
    <w:rsid w:val="00117535"/>
    <w:rsid w:val="00130265"/>
    <w:rsid w:val="001304C8"/>
    <w:rsid w:val="0015550A"/>
    <w:rsid w:val="00156659"/>
    <w:rsid w:val="00162F67"/>
    <w:rsid w:val="001664B8"/>
    <w:rsid w:val="00174A6F"/>
    <w:rsid w:val="001851CE"/>
    <w:rsid w:val="001A0D26"/>
    <w:rsid w:val="001A3646"/>
    <w:rsid w:val="001B4D16"/>
    <w:rsid w:val="001E2DAC"/>
    <w:rsid w:val="001F2122"/>
    <w:rsid w:val="00210125"/>
    <w:rsid w:val="00211D24"/>
    <w:rsid w:val="0021424F"/>
    <w:rsid w:val="00223C06"/>
    <w:rsid w:val="0023690F"/>
    <w:rsid w:val="00236CF7"/>
    <w:rsid w:val="00260C35"/>
    <w:rsid w:val="002749EF"/>
    <w:rsid w:val="002C439A"/>
    <w:rsid w:val="002C7663"/>
    <w:rsid w:val="002E7863"/>
    <w:rsid w:val="002F7079"/>
    <w:rsid w:val="003039CF"/>
    <w:rsid w:val="00305610"/>
    <w:rsid w:val="00305A1C"/>
    <w:rsid w:val="00331076"/>
    <w:rsid w:val="0033611C"/>
    <w:rsid w:val="00351DDA"/>
    <w:rsid w:val="0036349C"/>
    <w:rsid w:val="003727C7"/>
    <w:rsid w:val="00387454"/>
    <w:rsid w:val="00392400"/>
    <w:rsid w:val="00392DF7"/>
    <w:rsid w:val="003B6FCF"/>
    <w:rsid w:val="003E4E8C"/>
    <w:rsid w:val="00414DFB"/>
    <w:rsid w:val="004174D8"/>
    <w:rsid w:val="00430678"/>
    <w:rsid w:val="0043108C"/>
    <w:rsid w:val="00446298"/>
    <w:rsid w:val="00455349"/>
    <w:rsid w:val="00465A33"/>
    <w:rsid w:val="0046621E"/>
    <w:rsid w:val="00472C6D"/>
    <w:rsid w:val="00474349"/>
    <w:rsid w:val="00475BDA"/>
    <w:rsid w:val="00480754"/>
    <w:rsid w:val="004A70A7"/>
    <w:rsid w:val="004E36F2"/>
    <w:rsid w:val="004E4B1D"/>
    <w:rsid w:val="004E655F"/>
    <w:rsid w:val="00511715"/>
    <w:rsid w:val="00511CFD"/>
    <w:rsid w:val="00512073"/>
    <w:rsid w:val="005320CB"/>
    <w:rsid w:val="00566AB1"/>
    <w:rsid w:val="005729F7"/>
    <w:rsid w:val="00583387"/>
    <w:rsid w:val="00585654"/>
    <w:rsid w:val="00586900"/>
    <w:rsid w:val="005A1227"/>
    <w:rsid w:val="005A73E5"/>
    <w:rsid w:val="005E7C2E"/>
    <w:rsid w:val="00602A33"/>
    <w:rsid w:val="006032DC"/>
    <w:rsid w:val="00604DD6"/>
    <w:rsid w:val="006249E8"/>
    <w:rsid w:val="00647584"/>
    <w:rsid w:val="00650FCD"/>
    <w:rsid w:val="00655F02"/>
    <w:rsid w:val="00670EF9"/>
    <w:rsid w:val="0067684C"/>
    <w:rsid w:val="00697318"/>
    <w:rsid w:val="006C580A"/>
    <w:rsid w:val="006D0457"/>
    <w:rsid w:val="006D443B"/>
    <w:rsid w:val="006D5D19"/>
    <w:rsid w:val="006E6251"/>
    <w:rsid w:val="006F460C"/>
    <w:rsid w:val="00700547"/>
    <w:rsid w:val="00705F51"/>
    <w:rsid w:val="007212DA"/>
    <w:rsid w:val="007240BE"/>
    <w:rsid w:val="00724A19"/>
    <w:rsid w:val="00724F1E"/>
    <w:rsid w:val="00726F7F"/>
    <w:rsid w:val="0074625F"/>
    <w:rsid w:val="00752296"/>
    <w:rsid w:val="00756F8E"/>
    <w:rsid w:val="007931E4"/>
    <w:rsid w:val="007A2964"/>
    <w:rsid w:val="007A615B"/>
    <w:rsid w:val="007C3C81"/>
    <w:rsid w:val="007D1E1A"/>
    <w:rsid w:val="007F32C9"/>
    <w:rsid w:val="007F43A0"/>
    <w:rsid w:val="00805F0F"/>
    <w:rsid w:val="00806654"/>
    <w:rsid w:val="00807773"/>
    <w:rsid w:val="008172DF"/>
    <w:rsid w:val="00830206"/>
    <w:rsid w:val="00830F0A"/>
    <w:rsid w:val="0083254B"/>
    <w:rsid w:val="008555B9"/>
    <w:rsid w:val="0086241E"/>
    <w:rsid w:val="008752FD"/>
    <w:rsid w:val="008865DD"/>
    <w:rsid w:val="00887F7E"/>
    <w:rsid w:val="008B491F"/>
    <w:rsid w:val="008B7B1D"/>
    <w:rsid w:val="008C6258"/>
    <w:rsid w:val="008C6FB6"/>
    <w:rsid w:val="008D2D37"/>
    <w:rsid w:val="00915CDA"/>
    <w:rsid w:val="00926B70"/>
    <w:rsid w:val="00940FC1"/>
    <w:rsid w:val="0094277B"/>
    <w:rsid w:val="00946CCF"/>
    <w:rsid w:val="00957A9E"/>
    <w:rsid w:val="00975964"/>
    <w:rsid w:val="00985397"/>
    <w:rsid w:val="00991E7D"/>
    <w:rsid w:val="009A7471"/>
    <w:rsid w:val="009C0741"/>
    <w:rsid w:val="009E2FC0"/>
    <w:rsid w:val="009F4EE4"/>
    <w:rsid w:val="00A0775D"/>
    <w:rsid w:val="00A102C4"/>
    <w:rsid w:val="00A12A99"/>
    <w:rsid w:val="00A14851"/>
    <w:rsid w:val="00A17CD5"/>
    <w:rsid w:val="00A21684"/>
    <w:rsid w:val="00A30C8B"/>
    <w:rsid w:val="00A41571"/>
    <w:rsid w:val="00A66B7C"/>
    <w:rsid w:val="00A717E6"/>
    <w:rsid w:val="00A87731"/>
    <w:rsid w:val="00A978F1"/>
    <w:rsid w:val="00AA14A7"/>
    <w:rsid w:val="00AB22B9"/>
    <w:rsid w:val="00AB464C"/>
    <w:rsid w:val="00AC004D"/>
    <w:rsid w:val="00AD4719"/>
    <w:rsid w:val="00B00161"/>
    <w:rsid w:val="00B0592D"/>
    <w:rsid w:val="00B2672F"/>
    <w:rsid w:val="00B551BC"/>
    <w:rsid w:val="00B643BD"/>
    <w:rsid w:val="00B82AF7"/>
    <w:rsid w:val="00B92431"/>
    <w:rsid w:val="00BA3A50"/>
    <w:rsid w:val="00BA54BE"/>
    <w:rsid w:val="00BA5D28"/>
    <w:rsid w:val="00BB1250"/>
    <w:rsid w:val="00BB6447"/>
    <w:rsid w:val="00BC793E"/>
    <w:rsid w:val="00BD7600"/>
    <w:rsid w:val="00BD77F3"/>
    <w:rsid w:val="00BF4DE1"/>
    <w:rsid w:val="00C05DE0"/>
    <w:rsid w:val="00C13769"/>
    <w:rsid w:val="00C14D7D"/>
    <w:rsid w:val="00C14F01"/>
    <w:rsid w:val="00C168EA"/>
    <w:rsid w:val="00C50A8E"/>
    <w:rsid w:val="00C566ED"/>
    <w:rsid w:val="00C80779"/>
    <w:rsid w:val="00C97923"/>
    <w:rsid w:val="00CA00CD"/>
    <w:rsid w:val="00CC6844"/>
    <w:rsid w:val="00CD241B"/>
    <w:rsid w:val="00CD702A"/>
    <w:rsid w:val="00CE3C21"/>
    <w:rsid w:val="00CF0893"/>
    <w:rsid w:val="00D12532"/>
    <w:rsid w:val="00D275CA"/>
    <w:rsid w:val="00D35299"/>
    <w:rsid w:val="00D41271"/>
    <w:rsid w:val="00D62762"/>
    <w:rsid w:val="00D65CEA"/>
    <w:rsid w:val="00D722D1"/>
    <w:rsid w:val="00D87BE8"/>
    <w:rsid w:val="00DB0811"/>
    <w:rsid w:val="00DC4000"/>
    <w:rsid w:val="00DE3500"/>
    <w:rsid w:val="00DF219E"/>
    <w:rsid w:val="00DF4342"/>
    <w:rsid w:val="00E03037"/>
    <w:rsid w:val="00E15734"/>
    <w:rsid w:val="00E20DCE"/>
    <w:rsid w:val="00E254D2"/>
    <w:rsid w:val="00E2592F"/>
    <w:rsid w:val="00E76B1A"/>
    <w:rsid w:val="00E86148"/>
    <w:rsid w:val="00E95273"/>
    <w:rsid w:val="00EC2749"/>
    <w:rsid w:val="00EC7810"/>
    <w:rsid w:val="00EE1EE1"/>
    <w:rsid w:val="00EE63D4"/>
    <w:rsid w:val="00EF1323"/>
    <w:rsid w:val="00EF18AB"/>
    <w:rsid w:val="00EF497B"/>
    <w:rsid w:val="00F16719"/>
    <w:rsid w:val="00F2592C"/>
    <w:rsid w:val="00F379D1"/>
    <w:rsid w:val="00F5521E"/>
    <w:rsid w:val="00F55E6E"/>
    <w:rsid w:val="00F66886"/>
    <w:rsid w:val="00F71B71"/>
    <w:rsid w:val="00F77ED0"/>
    <w:rsid w:val="00FA46D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86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110</cp:revision>
  <cp:lastPrinted>2023-12-29T15:01:00Z</cp:lastPrinted>
  <dcterms:created xsi:type="dcterms:W3CDTF">2023-06-16T13:17:00Z</dcterms:created>
  <dcterms:modified xsi:type="dcterms:W3CDTF">2023-12-29T18:56:00Z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