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5DB2" w14:textId="77777777" w:rsidR="00B835EE" w:rsidRDefault="00B835EE">
      <w:pPr>
        <w:spacing w:after="200" w:line="276" w:lineRule="auto"/>
        <w:rPr>
          <w:rFonts w:ascii="Calibri" w:eastAsia="Calibri" w:hAnsi="Calibri" w:cs="Calibri"/>
          <w:b/>
          <w:color w:val="000000"/>
          <w:sz w:val="28"/>
        </w:rPr>
      </w:pPr>
    </w:p>
    <w:p w14:paraId="1C39210D" w14:textId="74C19429" w:rsidR="00B835EE" w:rsidRPr="0042445B" w:rsidRDefault="00DB0BE5">
      <w:pPr>
        <w:spacing w:after="200" w:line="276" w:lineRule="auto"/>
        <w:jc w:val="center"/>
        <w:rPr>
          <w:rFonts w:eastAsia="Segoe UI" w:cstheme="minorHAnsi"/>
          <w:b/>
          <w:sz w:val="24"/>
        </w:rPr>
      </w:pPr>
      <w:r w:rsidRPr="0042445B">
        <w:rPr>
          <w:rFonts w:eastAsia="Segoe UI" w:cstheme="minorHAnsi"/>
          <w:b/>
          <w:sz w:val="24"/>
        </w:rPr>
        <w:t xml:space="preserve">Výpis podporovaných opatření </w:t>
      </w:r>
    </w:p>
    <w:p w14:paraId="7DD97B7E" w14:textId="77777777" w:rsidR="0042445B" w:rsidRPr="0042445B" w:rsidRDefault="0042445B">
      <w:pPr>
        <w:spacing w:after="0" w:line="264" w:lineRule="auto"/>
        <w:rPr>
          <w:rFonts w:eastAsia="Segoe UI" w:cstheme="minorHAnsi"/>
          <w:b/>
          <w:color w:val="0070C0"/>
          <w:sz w:val="20"/>
        </w:rPr>
      </w:pPr>
    </w:p>
    <w:p w14:paraId="123CC1F3" w14:textId="77777777" w:rsidR="00B835EE" w:rsidRPr="0042445B" w:rsidRDefault="00DB0BE5" w:rsidP="0042445B">
      <w:pPr>
        <w:spacing w:before="240" w:after="120" w:line="264" w:lineRule="auto"/>
        <w:jc w:val="both"/>
        <w:rPr>
          <w:rFonts w:eastAsia="Segoe UI" w:cstheme="minorHAnsi"/>
          <w:b/>
          <w:sz w:val="20"/>
          <w:u w:val="single"/>
        </w:rPr>
      </w:pPr>
      <w:r w:rsidRPr="0042445B">
        <w:rPr>
          <w:rFonts w:eastAsia="Segoe UI" w:cstheme="minorHAnsi"/>
          <w:b/>
          <w:sz w:val="20"/>
          <w:u w:val="single"/>
        </w:rPr>
        <w:t>Opatření 1.1.1 Snížení energetické náročnosti veřejných budov a veřejné infrastruktury</w:t>
      </w:r>
    </w:p>
    <w:p w14:paraId="4EFEEE23" w14:textId="77777777" w:rsidR="0042445B" w:rsidRPr="0042445B" w:rsidRDefault="0042445B" w:rsidP="0042445B">
      <w:pPr>
        <w:spacing w:before="240" w:after="120" w:line="264" w:lineRule="auto"/>
        <w:jc w:val="both"/>
        <w:rPr>
          <w:rFonts w:eastAsia="Segoe UI" w:cstheme="minorHAnsi"/>
          <w:b/>
          <w:sz w:val="20"/>
        </w:rPr>
      </w:pPr>
    </w:p>
    <w:p w14:paraId="3FE95368" w14:textId="25028C75" w:rsidR="00B835EE" w:rsidRPr="0042445B" w:rsidRDefault="00DB0BE5" w:rsidP="0042445B">
      <w:pPr>
        <w:spacing w:after="120" w:line="240" w:lineRule="auto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>Typy podporovaných projektů</w:t>
      </w:r>
    </w:p>
    <w:p w14:paraId="7531853C" w14:textId="77777777" w:rsidR="00B835EE" w:rsidRPr="0042445B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sz w:val="20"/>
        </w:rPr>
      </w:pPr>
      <w:r w:rsidRPr="0042445B">
        <w:rPr>
          <w:rFonts w:eastAsia="Segoe UI" w:cstheme="minorHAnsi"/>
          <w:sz w:val="20"/>
        </w:rPr>
        <w:t xml:space="preserve">Komplexní podpora revitalizace budov veřejného sektoru s cílem snížení konečné spotřeby energie a úspory primární energie z neobnovitelných zdrojů. </w:t>
      </w:r>
    </w:p>
    <w:p w14:paraId="07D14171" w14:textId="77777777" w:rsidR="00B835EE" w:rsidRPr="0042445B" w:rsidRDefault="00B835EE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sz w:val="20"/>
        </w:rPr>
      </w:pPr>
    </w:p>
    <w:p w14:paraId="01C83C3C" w14:textId="77777777" w:rsidR="00B835EE" w:rsidRPr="0042445B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 xml:space="preserve">Podporované projekty: </w:t>
      </w:r>
    </w:p>
    <w:p w14:paraId="79BB7567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Komplexní, či návazné stavební úpravy budov vedoucí ke zlepšení tepelně technických vlastností obvodových konstrukcí budovy.  </w:t>
      </w:r>
    </w:p>
    <w:p w14:paraId="2793E5AF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Systémy využívající odpadní teplo. </w:t>
      </w:r>
    </w:p>
    <w:p w14:paraId="6FDF3F51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Systémy nuceného větrání s rekuperací odpadního tepla.  </w:t>
      </w:r>
    </w:p>
    <w:p w14:paraId="628CF0F9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Rekonstrukce otopné soustavy.</w:t>
      </w:r>
    </w:p>
    <w:p w14:paraId="540565AF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Ostatní opatření vedoucí ke snížení energetické náročnosti budovy ve všech aspektech jejího provozu např.: </w:t>
      </w:r>
    </w:p>
    <w:p w14:paraId="6E1AD39F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108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zavedení energetického managementu, včetně řídícího softwaru a měřících a řídících prvků pro optimalizaci výroby a spotřeby energie; </w:t>
      </w:r>
    </w:p>
    <w:p w14:paraId="16356DEE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108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rekonstrukce předávacích stanic tepla. </w:t>
      </w:r>
    </w:p>
    <w:p w14:paraId="1AC6FDFC" w14:textId="77777777" w:rsidR="00B835EE" w:rsidRPr="0042445B" w:rsidRDefault="00DB0BE5">
      <w:pPr>
        <w:numPr>
          <w:ilvl w:val="0"/>
          <w:numId w:val="2"/>
        </w:numPr>
        <w:spacing w:before="120" w:after="120" w:line="240" w:lineRule="auto"/>
        <w:ind w:left="108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rekonstrukce teplovodních rozvodů v rámci areálových škol, nemocnic apod. s jednou centrální kotelnou.</w:t>
      </w:r>
    </w:p>
    <w:p w14:paraId="49C753FA" w14:textId="70817192" w:rsidR="00B835EE" w:rsidRDefault="00DB0BE5" w:rsidP="0042445B">
      <w:pPr>
        <w:spacing w:after="0" w:line="240" w:lineRule="auto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Opatření je možné kombinovat s aktivitami v 1.1.3, 1.1.4 a 1.2.1 do </w:t>
      </w:r>
      <w:r w:rsidRPr="0042445B">
        <w:rPr>
          <w:rFonts w:eastAsia="Segoe UI" w:cstheme="minorHAnsi"/>
          <w:b/>
        </w:rPr>
        <w:t>jednoho komplexního projektu</w:t>
      </w:r>
      <w:r w:rsidRPr="0042445B">
        <w:rPr>
          <w:rFonts w:eastAsia="Segoe UI" w:cstheme="minorHAnsi"/>
        </w:rPr>
        <w:t xml:space="preserve">. Jako součást komplexního projektu může být způsobilým výdajem i </w:t>
      </w:r>
      <w:r w:rsidRPr="0042445B">
        <w:rPr>
          <w:rFonts w:eastAsia="Segoe UI" w:cstheme="minorHAnsi"/>
          <w:b/>
        </w:rPr>
        <w:t>dobíjecí stanice pro vozidla na elektropohon</w:t>
      </w:r>
      <w:r w:rsidRPr="0042445B">
        <w:rPr>
          <w:rFonts w:eastAsia="Segoe UI" w:cstheme="minorHAnsi"/>
        </w:rPr>
        <w:t>.</w:t>
      </w:r>
      <w:r w:rsidRPr="0042445B">
        <w:rPr>
          <w:rFonts w:eastAsia="Segoe UI" w:cstheme="minorHAnsi"/>
          <w:b/>
        </w:rPr>
        <w:t xml:space="preserve"> </w:t>
      </w:r>
    </w:p>
    <w:p w14:paraId="58CF16ED" w14:textId="77777777" w:rsidR="0042445B" w:rsidRPr="0042445B" w:rsidRDefault="0042445B" w:rsidP="0042445B">
      <w:pPr>
        <w:spacing w:after="0" w:line="240" w:lineRule="auto"/>
        <w:jc w:val="both"/>
        <w:rPr>
          <w:rFonts w:eastAsia="Segoe UI" w:cstheme="minorHAnsi"/>
        </w:rPr>
      </w:pPr>
    </w:p>
    <w:p w14:paraId="0D0C4825" w14:textId="77777777" w:rsidR="0042445B" w:rsidRDefault="0042445B" w:rsidP="0042445B">
      <w:pPr>
        <w:spacing w:after="0" w:line="240" w:lineRule="auto"/>
        <w:jc w:val="both"/>
        <w:rPr>
          <w:rFonts w:eastAsia="Segoe UI" w:cstheme="minorHAnsi"/>
          <w:b/>
          <w:sz w:val="20"/>
          <w:u w:val="single"/>
        </w:rPr>
      </w:pPr>
    </w:p>
    <w:p w14:paraId="4F2D8D52" w14:textId="13A07099" w:rsidR="00B835EE" w:rsidRPr="0042445B" w:rsidRDefault="00DB0BE5" w:rsidP="0042445B">
      <w:pPr>
        <w:spacing w:after="0" w:line="240" w:lineRule="auto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  <w:u w:val="single"/>
        </w:rPr>
        <w:t>Opatření 1.1.3 Zlepšení kvality vnitřního prostředí veřejných budov</w:t>
      </w:r>
    </w:p>
    <w:p w14:paraId="21936266" w14:textId="77777777" w:rsidR="00B835EE" w:rsidRPr="0042445B" w:rsidRDefault="00B835EE">
      <w:pPr>
        <w:spacing w:after="0" w:line="240" w:lineRule="auto"/>
        <w:jc w:val="both"/>
        <w:rPr>
          <w:rFonts w:eastAsia="Segoe UI" w:cstheme="minorHAnsi"/>
        </w:rPr>
      </w:pPr>
    </w:p>
    <w:p w14:paraId="56158BC9" w14:textId="77777777" w:rsidR="0042445B" w:rsidRDefault="0042445B" w:rsidP="0042445B">
      <w:pPr>
        <w:spacing w:after="120" w:line="240" w:lineRule="auto"/>
        <w:jc w:val="both"/>
        <w:rPr>
          <w:rFonts w:eastAsia="Segoe UI" w:cstheme="minorHAnsi"/>
          <w:b/>
          <w:sz w:val="20"/>
        </w:rPr>
      </w:pPr>
    </w:p>
    <w:p w14:paraId="2E32B434" w14:textId="029981CF" w:rsidR="00B835EE" w:rsidRPr="0042445B" w:rsidRDefault="00DB0BE5" w:rsidP="0042445B">
      <w:pPr>
        <w:spacing w:after="120" w:line="240" w:lineRule="auto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>Typy podporovaných projektů</w:t>
      </w:r>
    </w:p>
    <w:p w14:paraId="6A37FDDD" w14:textId="77777777" w:rsidR="00B835EE" w:rsidRPr="0042445B" w:rsidRDefault="00DB0BE5">
      <w:pPr>
        <w:spacing w:after="0" w:line="240" w:lineRule="auto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Cílem je zlepšení kvality vnitřního prostředí jako integrální součásti komplexní revitalizace budov veřejného sektoru. </w:t>
      </w:r>
    </w:p>
    <w:p w14:paraId="0112F25D" w14:textId="77777777" w:rsidR="00B835EE" w:rsidRPr="0042445B" w:rsidRDefault="00B835EE">
      <w:pPr>
        <w:spacing w:after="0" w:line="240" w:lineRule="auto"/>
        <w:jc w:val="both"/>
        <w:rPr>
          <w:rFonts w:eastAsia="Segoe UI" w:cstheme="minorHAnsi"/>
        </w:rPr>
      </w:pPr>
    </w:p>
    <w:p w14:paraId="4EE87C8D" w14:textId="77777777" w:rsidR="00B835EE" w:rsidRPr="0042445B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 xml:space="preserve">Podporované projekty: </w:t>
      </w:r>
    </w:p>
    <w:p w14:paraId="47FF11DA" w14:textId="77777777" w:rsidR="00B835EE" w:rsidRPr="0042445B" w:rsidRDefault="00DB0BE5">
      <w:pPr>
        <w:numPr>
          <w:ilvl w:val="0"/>
          <w:numId w:val="5"/>
        </w:numPr>
        <w:spacing w:after="0" w:line="264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Modernizace vnitřního osvětlení.</w:t>
      </w:r>
    </w:p>
    <w:p w14:paraId="1F5CBB54" w14:textId="77777777" w:rsidR="00B835EE" w:rsidRPr="0042445B" w:rsidRDefault="00DB0BE5">
      <w:pPr>
        <w:numPr>
          <w:ilvl w:val="0"/>
          <w:numId w:val="5"/>
        </w:numPr>
        <w:spacing w:after="0" w:line="264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Opatření k eliminaci negativních akustických jevů.</w:t>
      </w:r>
    </w:p>
    <w:p w14:paraId="438B44E8" w14:textId="77777777" w:rsidR="00B835EE" w:rsidRPr="0042445B" w:rsidRDefault="00DB0BE5">
      <w:pPr>
        <w:numPr>
          <w:ilvl w:val="0"/>
          <w:numId w:val="5"/>
        </w:numPr>
        <w:spacing w:after="0" w:line="264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Vnější stínící prvky.</w:t>
      </w:r>
    </w:p>
    <w:p w14:paraId="207596EC" w14:textId="77777777" w:rsidR="00B835EE" w:rsidRDefault="00B835EE">
      <w:pPr>
        <w:spacing w:after="200" w:line="276" w:lineRule="auto"/>
        <w:rPr>
          <w:rFonts w:eastAsia="Segoe UI" w:cstheme="minorHAnsi"/>
        </w:rPr>
      </w:pPr>
    </w:p>
    <w:p w14:paraId="2ECE0BAA" w14:textId="77777777" w:rsidR="0042445B" w:rsidRDefault="0042445B" w:rsidP="0042445B">
      <w:pPr>
        <w:spacing w:after="0" w:line="240" w:lineRule="auto"/>
        <w:jc w:val="both"/>
        <w:rPr>
          <w:rFonts w:eastAsia="Segoe UI" w:cstheme="minorHAnsi"/>
        </w:rPr>
      </w:pPr>
    </w:p>
    <w:p w14:paraId="389B6809" w14:textId="77777777" w:rsidR="0042445B" w:rsidRDefault="0042445B" w:rsidP="0042445B">
      <w:pPr>
        <w:spacing w:after="0" w:line="240" w:lineRule="auto"/>
        <w:jc w:val="both"/>
        <w:rPr>
          <w:rFonts w:eastAsia="Segoe UI" w:cstheme="minorHAnsi"/>
        </w:rPr>
      </w:pPr>
    </w:p>
    <w:p w14:paraId="5A2B98CD" w14:textId="31A240C4" w:rsidR="00B835EE" w:rsidRPr="0042445B" w:rsidRDefault="00DB0BE5" w:rsidP="0042445B">
      <w:pPr>
        <w:spacing w:after="0" w:line="240" w:lineRule="auto"/>
        <w:jc w:val="both"/>
        <w:rPr>
          <w:rFonts w:eastAsia="Segoe UI" w:cstheme="minorHAnsi"/>
          <w:b/>
          <w:sz w:val="20"/>
          <w:u w:val="single"/>
        </w:rPr>
      </w:pPr>
      <w:r w:rsidRPr="0042445B">
        <w:rPr>
          <w:rFonts w:eastAsia="Segoe UI" w:cstheme="minorHAnsi"/>
          <w:b/>
          <w:sz w:val="20"/>
          <w:u w:val="single"/>
        </w:rPr>
        <w:lastRenderedPageBreak/>
        <w:t xml:space="preserve">Opatření 1.1.4 Zvýšení adaptability veřejných budov na změnu klimatu  </w:t>
      </w:r>
    </w:p>
    <w:p w14:paraId="5591CBBC" w14:textId="77777777" w:rsidR="00B835EE" w:rsidRPr="0042445B" w:rsidRDefault="00B835EE">
      <w:pPr>
        <w:spacing w:after="0" w:line="240" w:lineRule="auto"/>
        <w:rPr>
          <w:rFonts w:eastAsia="Segoe UI" w:cstheme="minorHAnsi"/>
        </w:rPr>
      </w:pPr>
    </w:p>
    <w:p w14:paraId="5541CE47" w14:textId="77777777" w:rsidR="00B835EE" w:rsidRPr="0042445B" w:rsidRDefault="00B835EE">
      <w:pPr>
        <w:spacing w:after="0" w:line="240" w:lineRule="auto"/>
        <w:rPr>
          <w:rFonts w:eastAsia="Segoe UI" w:cstheme="minorHAnsi"/>
        </w:rPr>
      </w:pPr>
    </w:p>
    <w:p w14:paraId="5893519C" w14:textId="77777777" w:rsidR="00B835EE" w:rsidRPr="0042445B" w:rsidRDefault="00DB0BE5" w:rsidP="0042445B">
      <w:pPr>
        <w:spacing w:after="120" w:line="240" w:lineRule="auto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 xml:space="preserve">Typy podporovaných projektů </w:t>
      </w:r>
    </w:p>
    <w:p w14:paraId="26AEA304" w14:textId="77777777" w:rsidR="00B835EE" w:rsidRPr="0042445B" w:rsidRDefault="00DB0BE5">
      <w:pPr>
        <w:spacing w:after="200" w:line="276" w:lineRule="auto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Cílem je zvýšení adaptability budov na změnu klimatu jako integrální součásti komplexní revitalizace budov veřejného sektoru. </w:t>
      </w:r>
    </w:p>
    <w:p w14:paraId="14B0A606" w14:textId="77777777" w:rsidR="00B835EE" w:rsidRPr="0042445B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 xml:space="preserve">Podporované projekty: </w:t>
      </w:r>
    </w:p>
    <w:p w14:paraId="57DDF84A" w14:textId="77777777" w:rsidR="00B835EE" w:rsidRPr="0042445B" w:rsidRDefault="00DB0BE5">
      <w:pPr>
        <w:numPr>
          <w:ilvl w:val="0"/>
          <w:numId w:val="8"/>
        </w:numPr>
        <w:spacing w:after="0" w:line="264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Technologie pro akumulaci, úpravu a rozvod šedých a srážkových vod v budovách za účelem splachování, zálivky, praní a dalších relevantních užití.</w:t>
      </w:r>
    </w:p>
    <w:p w14:paraId="798B0CFD" w14:textId="77777777" w:rsidR="00B835EE" w:rsidRPr="0042445B" w:rsidRDefault="00B835EE">
      <w:pPr>
        <w:spacing w:after="200" w:line="276" w:lineRule="auto"/>
        <w:rPr>
          <w:rFonts w:eastAsia="Segoe UI" w:cstheme="minorHAnsi"/>
        </w:rPr>
      </w:pPr>
    </w:p>
    <w:p w14:paraId="16238EF9" w14:textId="77777777" w:rsidR="00B835EE" w:rsidRPr="0042445B" w:rsidRDefault="00DB0BE5" w:rsidP="0042445B">
      <w:pPr>
        <w:spacing w:before="240" w:after="120" w:line="264" w:lineRule="auto"/>
        <w:jc w:val="both"/>
        <w:rPr>
          <w:rFonts w:eastAsia="Segoe UI" w:cstheme="minorHAnsi"/>
          <w:b/>
          <w:sz w:val="20"/>
          <w:u w:val="single"/>
        </w:rPr>
      </w:pPr>
      <w:r w:rsidRPr="0042445B">
        <w:rPr>
          <w:rFonts w:eastAsia="Segoe UI" w:cstheme="minorHAnsi"/>
          <w:b/>
          <w:sz w:val="20"/>
          <w:u w:val="single"/>
        </w:rPr>
        <w:t>Opatření 1.2.1 Výstavba a rekonstrukce obnovitelných zdrojů energie pro veřejné budovy</w:t>
      </w:r>
    </w:p>
    <w:p w14:paraId="3401DE91" w14:textId="77777777" w:rsidR="0042445B" w:rsidRDefault="0042445B" w:rsidP="0042445B">
      <w:pPr>
        <w:spacing w:after="120" w:line="240" w:lineRule="auto"/>
        <w:jc w:val="both"/>
        <w:rPr>
          <w:rFonts w:eastAsia="Segoe UI" w:cstheme="minorHAnsi"/>
          <w:b/>
          <w:sz w:val="20"/>
        </w:rPr>
      </w:pPr>
    </w:p>
    <w:p w14:paraId="6D30AAA4" w14:textId="045E62D3" w:rsidR="00B835EE" w:rsidRPr="0042445B" w:rsidRDefault="00DB0BE5" w:rsidP="0042445B">
      <w:pPr>
        <w:spacing w:after="120" w:line="240" w:lineRule="auto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>Typy podporovaných projektů</w:t>
      </w:r>
    </w:p>
    <w:p w14:paraId="7F0F3AA7" w14:textId="77777777" w:rsidR="00B835EE" w:rsidRPr="0042445B" w:rsidRDefault="00DB0BE5">
      <w:pPr>
        <w:spacing w:after="0" w:line="240" w:lineRule="auto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Cílem je zvýšení využití obnovitelných zdrojů energie v budovách jako integrální součást komplexní revitalizace budov veřejného sektoru nebo samostatné instalace obnovitelných zdrojů energie. </w:t>
      </w:r>
    </w:p>
    <w:p w14:paraId="064A1A39" w14:textId="77777777" w:rsidR="00B835EE" w:rsidRPr="0042445B" w:rsidRDefault="00B835EE">
      <w:pPr>
        <w:spacing w:after="0" w:line="240" w:lineRule="auto"/>
        <w:jc w:val="both"/>
        <w:rPr>
          <w:rFonts w:eastAsia="Segoe UI" w:cstheme="minorHAnsi"/>
        </w:rPr>
      </w:pPr>
    </w:p>
    <w:p w14:paraId="63DCB26E" w14:textId="77777777" w:rsidR="00B835EE" w:rsidRPr="0042445B" w:rsidRDefault="00B835EE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b/>
          <w:sz w:val="20"/>
        </w:rPr>
      </w:pPr>
    </w:p>
    <w:p w14:paraId="24B608DE" w14:textId="77777777" w:rsidR="00B835EE" w:rsidRPr="0042445B" w:rsidRDefault="00DB0BE5">
      <w:pPr>
        <w:tabs>
          <w:tab w:val="left" w:pos="618"/>
        </w:tabs>
        <w:spacing w:before="40" w:after="0" w:line="240" w:lineRule="auto"/>
        <w:ind w:right="96"/>
        <w:jc w:val="both"/>
        <w:rPr>
          <w:rFonts w:eastAsia="Segoe UI" w:cstheme="minorHAnsi"/>
          <w:b/>
          <w:sz w:val="20"/>
        </w:rPr>
      </w:pPr>
      <w:r w:rsidRPr="0042445B">
        <w:rPr>
          <w:rFonts w:eastAsia="Segoe UI" w:cstheme="minorHAnsi"/>
          <w:b/>
          <w:sz w:val="20"/>
        </w:rPr>
        <w:t xml:space="preserve">Podporované projekty: </w:t>
      </w:r>
    </w:p>
    <w:p w14:paraId="767EFD7E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Výměna zdroje pro vytápění, chlazení nebo přípravu teplé vody využívajícího fosilní paliva nebo elektrickou energii za: </w:t>
      </w:r>
    </w:p>
    <w:p w14:paraId="00CFCA9B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144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tepelné čerpadlo, </w:t>
      </w:r>
    </w:p>
    <w:p w14:paraId="3E9C4B4A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144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>kotel na biomasu,</w:t>
      </w:r>
    </w:p>
    <w:p w14:paraId="0D012B75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144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zařízení pro kombinovanou výrobu elektřiny a tepla či chladu využívající OZE. </w:t>
      </w:r>
    </w:p>
    <w:p w14:paraId="00ECD0B8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Součástí projektu může být i rekonstrukce otopné soustavy.  </w:t>
      </w:r>
    </w:p>
    <w:p w14:paraId="180FD293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Instalace solárně – termických systémů. </w:t>
      </w:r>
    </w:p>
    <w:p w14:paraId="320E1FEE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Instalace fotovoltaických systémů. </w:t>
      </w:r>
    </w:p>
    <w:p w14:paraId="62EBBA39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Rekonstrukce, či výměna stávajícího OZE za OZE, včetně rekonstrukce otopné soustavy. </w:t>
      </w:r>
    </w:p>
    <w:p w14:paraId="08540D37" w14:textId="77777777" w:rsidR="00B835EE" w:rsidRPr="0042445B" w:rsidRDefault="00DB0BE5">
      <w:pPr>
        <w:numPr>
          <w:ilvl w:val="0"/>
          <w:numId w:val="10"/>
        </w:numPr>
        <w:spacing w:before="120" w:after="120" w:line="240" w:lineRule="auto"/>
        <w:ind w:left="720" w:hanging="360"/>
        <w:jc w:val="both"/>
        <w:rPr>
          <w:rFonts w:eastAsia="Segoe UI" w:cstheme="minorHAnsi"/>
        </w:rPr>
      </w:pPr>
      <w:r w:rsidRPr="0042445B">
        <w:rPr>
          <w:rFonts w:eastAsia="Segoe UI" w:cstheme="minorHAnsi"/>
        </w:rPr>
        <w:t xml:space="preserve">Zavedení energetického managementu včetně řídícího softwaru a měřících a řídících prvků pro optimalizaci výroby a spotřeby energie.   </w:t>
      </w:r>
    </w:p>
    <w:p w14:paraId="6E5579A2" w14:textId="77777777" w:rsidR="00B835EE" w:rsidRPr="0042445B" w:rsidRDefault="00B835EE">
      <w:pPr>
        <w:spacing w:after="0" w:line="264" w:lineRule="auto"/>
        <w:rPr>
          <w:rFonts w:eastAsia="Segoe UI" w:cstheme="minorHAnsi"/>
          <w:b/>
          <w:sz w:val="20"/>
        </w:rPr>
      </w:pPr>
    </w:p>
    <w:sectPr w:rsidR="00B835EE" w:rsidRPr="0042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BDE"/>
    <w:multiLevelType w:val="multilevel"/>
    <w:tmpl w:val="21B47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06395"/>
    <w:multiLevelType w:val="multilevel"/>
    <w:tmpl w:val="16CAA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C43C5"/>
    <w:multiLevelType w:val="multilevel"/>
    <w:tmpl w:val="35124D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463117"/>
    <w:multiLevelType w:val="multilevel"/>
    <w:tmpl w:val="0C348C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1012EF"/>
    <w:multiLevelType w:val="multilevel"/>
    <w:tmpl w:val="10EC81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89545A"/>
    <w:multiLevelType w:val="multilevel"/>
    <w:tmpl w:val="6FEE6B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25F7E"/>
    <w:multiLevelType w:val="multilevel"/>
    <w:tmpl w:val="47AC25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BC71CC"/>
    <w:multiLevelType w:val="multilevel"/>
    <w:tmpl w:val="D97E3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213019"/>
    <w:multiLevelType w:val="multilevel"/>
    <w:tmpl w:val="D1788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A183679"/>
    <w:multiLevelType w:val="multilevel"/>
    <w:tmpl w:val="DD3A9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F11C33"/>
    <w:multiLevelType w:val="multilevel"/>
    <w:tmpl w:val="EAA41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88868">
    <w:abstractNumId w:val="6"/>
  </w:num>
  <w:num w:numId="2" w16cid:durableId="1443450448">
    <w:abstractNumId w:val="10"/>
  </w:num>
  <w:num w:numId="3" w16cid:durableId="1486042453">
    <w:abstractNumId w:val="9"/>
  </w:num>
  <w:num w:numId="4" w16cid:durableId="920025555">
    <w:abstractNumId w:val="7"/>
  </w:num>
  <w:num w:numId="5" w16cid:durableId="2087067948">
    <w:abstractNumId w:val="2"/>
  </w:num>
  <w:num w:numId="6" w16cid:durableId="150560817">
    <w:abstractNumId w:val="3"/>
  </w:num>
  <w:num w:numId="7" w16cid:durableId="601305000">
    <w:abstractNumId w:val="0"/>
  </w:num>
  <w:num w:numId="8" w16cid:durableId="869297131">
    <w:abstractNumId w:val="8"/>
  </w:num>
  <w:num w:numId="9" w16cid:durableId="786121662">
    <w:abstractNumId w:val="5"/>
  </w:num>
  <w:num w:numId="10" w16cid:durableId="955209955">
    <w:abstractNumId w:val="4"/>
  </w:num>
  <w:num w:numId="11" w16cid:durableId="2108960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EE"/>
    <w:rsid w:val="0042445B"/>
    <w:rsid w:val="004F7388"/>
    <w:rsid w:val="00A81058"/>
    <w:rsid w:val="00B835EE"/>
    <w:rsid w:val="00DB0BE5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EA0F"/>
  <w15:docId w15:val="{CE67BC7A-AB66-4B53-96CB-D505BD52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2f99a-ec35-48f4-becb-5276efe12eb5">
      <Terms xmlns="http://schemas.microsoft.com/office/infopath/2007/PartnerControls"/>
    </lcf76f155ced4ddcb4097134ff3c332f>
    <TaxCatchAll xmlns="cf4f97eb-5d28-49eb-8972-8f8a2972c64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9DAE56586FD4A801DFF173D3AEF7B" ma:contentTypeVersion="14" ma:contentTypeDescription="Vytvoří nový dokument" ma:contentTypeScope="" ma:versionID="cf42172167cdae61c331c3bfd1a65550">
  <xsd:schema xmlns:xsd="http://www.w3.org/2001/XMLSchema" xmlns:xs="http://www.w3.org/2001/XMLSchema" xmlns:p="http://schemas.microsoft.com/office/2006/metadata/properties" xmlns:ns2="cf4f97eb-5d28-49eb-8972-8f8a2972c649" xmlns:ns3="d832f99a-ec35-48f4-becb-5276efe12eb5" targetNamespace="http://schemas.microsoft.com/office/2006/metadata/properties" ma:root="true" ma:fieldsID="93063541d79acfe348d8205ef3caff07" ns2:_="" ns3:_="">
    <xsd:import namespace="cf4f97eb-5d28-49eb-8972-8f8a2972c649"/>
    <xsd:import namespace="d832f99a-ec35-48f4-becb-5276efe12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97eb-5d28-49eb-8972-8f8a2972c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Sloupec zachycení celé taxonomie" ma:hidden="true" ma:list="{73794e92-3874-48ba-b26f-9c635f075140}" ma:internalName="TaxCatchAll" ma:showField="CatchAllData" ma:web="cf4f97eb-5d28-49eb-8972-8f8a2972c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2f99a-ec35-48f4-becb-5276efe12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64b6c111-1938-4821-85f3-92cb4bcf7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C515F0-51C2-4AC0-AE5A-61D3FD874500}">
  <ds:schemaRefs>
    <ds:schemaRef ds:uri="http://schemas.microsoft.com/office/2006/metadata/properties"/>
    <ds:schemaRef ds:uri="http://schemas.microsoft.com/office/infopath/2007/PartnerControls"/>
    <ds:schemaRef ds:uri="d832f99a-ec35-48f4-becb-5276efe12eb5"/>
    <ds:schemaRef ds:uri="cf4f97eb-5d28-49eb-8972-8f8a2972c649"/>
  </ds:schemaRefs>
</ds:datastoreItem>
</file>

<file path=customXml/itemProps2.xml><?xml version="1.0" encoding="utf-8"?>
<ds:datastoreItem xmlns:ds="http://schemas.openxmlformats.org/officeDocument/2006/customXml" ds:itemID="{5C4A98CF-B851-4EAF-9CF1-32B2F7F95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97eb-5d28-49eb-8972-8f8a2972c649"/>
    <ds:schemaRef ds:uri="d832f99a-ec35-48f4-becb-5276efe12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A914A5-9D5D-4619-843D-28431F7AA6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Pavel Antony</cp:lastModifiedBy>
  <cp:revision>2</cp:revision>
  <dcterms:created xsi:type="dcterms:W3CDTF">2023-10-30T12:19:00Z</dcterms:created>
  <dcterms:modified xsi:type="dcterms:W3CDTF">2023-10-30T12:19:00Z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0x010100D199DAE56586FD4A801DFF173D3AEF7B</vt:lpwstr>
  </property>
</Properties>
</file>